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184543ED">
      <w:pPr>
        <w:pStyle w:val="5"/>
        <w:ind w:firstLine="1285" w:firstLineChars="4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消防设施维保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p w14:paraId="20091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项目需求</w:t>
      </w:r>
    </w:p>
    <w:p w14:paraId="149C9B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大庆市第三医院共计维保面积：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45792.17平方米，包括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建筑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心理医院、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心理楼、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教学楼、门诊楼、住院楼、机关楼、康复室、制剂室、车队、患者食堂、档案室、洗衣班、锅炉房等13栋楼房及房屋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带喷淋建筑面积21915.4平方米，不带喷淋面积23876.77平方米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的消防设施运行维护保养工作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D715E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维护保养范围：包括消防控制主机、自动喷淋灭火系统、应急广播系统、消防送风系统、火灾自动报警系统、防火分隔系统、防排烟系统、应急照明和疏散指示、消防给水系统、电气火灾监控系统、其他消防设施。</w:t>
      </w:r>
    </w:p>
    <w:p w14:paraId="05A86B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人员必须持建(构)筑消防员中级（四级）或消防设施操作员中级证（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维护保养方向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）有效证件上岗。</w:t>
      </w:r>
    </w:p>
    <w:p w14:paraId="6AE838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维保单位需提供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详细的《消防设施维护保养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，要求方案设计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科学、合理、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实用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可行。</w:t>
      </w:r>
    </w:p>
    <w:p w14:paraId="3F7B3C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按照国家相关标准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定期维护：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每月至少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次，按照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事先制定好的检查单，有计划地对约定设备进行全面检查的作业项目；</w:t>
      </w:r>
    </w:p>
    <w:p w14:paraId="3D6982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保养：根据设备的运行记录，为维持设备完好状态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和正常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功能，按照设备工作环境特点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维保要求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施实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有计划的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作业项目，包括清洁、调整、紧固、测试等；</w:t>
      </w:r>
    </w:p>
    <w:p w14:paraId="222B06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响应时间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：维修人员接到通知后30分钟内回应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，应在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小时内到达故障现场，修复发生故障的消防设施设备，必要时进行临时修理和现场清理；</w:t>
      </w:r>
    </w:p>
    <w:p w14:paraId="597822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故障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修复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：一般故障4小时内处理完毕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突发性故障8小时内全力以赴恢复，若无法完成需书面说明并制定维修方案、费用预算、维修申请、签订、施修及维修后的各项性能检测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57F6DE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耗材与配件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：维保单位在进行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维修时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，承担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单件价值在500元以内的耗材及易损件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费用，若更换的耗材或易损件单件价值超过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500元时，维保单位需提供配件的型号及相关信息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9A76D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验收确认：所有维修、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测试、保养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工作完成后，须由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医院职能科室安全保卫科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进行效果确认，并签字认可。</w:t>
      </w:r>
    </w:p>
    <w:p w14:paraId="686572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如遇法定节假日（五一，十一，中秋，端午，春节）前对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的消防控制室人员进行消防知识、操作技巧、应急处理、以及简单故障排查</w:t>
      </w:r>
      <w:r>
        <w:rPr>
          <w:rFonts w:hint="eastAsia" w:ascii="仿宋_GB2312" w:hAnsi="仿宋_GB2312" w:eastAsia="仿宋_GB2312" w:cs="仿宋_GB2312"/>
          <w:sz w:val="28"/>
          <w:szCs w:val="28"/>
        </w:rPr>
        <w:t>与处理的知识培训。</w:t>
      </w:r>
    </w:p>
    <w:p w14:paraId="7372C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消防设施维护保养要求</w:t>
      </w:r>
    </w:p>
    <w:p w14:paraId="7801E7C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消防控制主机</w:t>
      </w:r>
    </w:p>
    <w:p w14:paraId="0121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外观检查‌：清洁主机表面，确保无灰尘堆积，按键操作灵活无卡顿。</w:t>
      </w:r>
    </w:p>
    <w:p w14:paraId="56C8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功能测试‌：定期进行自检、消音、复位功能测试，并验证主电源与备用电源切换是否正常。</w:t>
      </w:r>
    </w:p>
    <w:p w14:paraId="7AF1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线路检查‌：紧固接线端子，防止松动或锈蚀，确保报警信号传输稳定。</w:t>
      </w:r>
    </w:p>
    <w:p w14:paraId="29E975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自动喷淋灭火系统</w:t>
      </w:r>
    </w:p>
    <w:p w14:paraId="5836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喷头检查‌：清除喷头堵塞物，确保分布合理，覆盖所有潜在火险区域。</w:t>
      </w:r>
    </w:p>
    <w:p w14:paraId="296E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管道维护‌：检查管道无锈蚀、泄漏，定期清洗过滤器，保持水流畅通。</w:t>
      </w:r>
    </w:p>
    <w:p w14:paraId="507F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水力测试‌：通过末端放水试验，验证水流指示器和压力开关的报警功能是否灵敏。</w:t>
      </w:r>
    </w:p>
    <w:p w14:paraId="21D4EBF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应急广播系统</w:t>
      </w:r>
    </w:p>
    <w:p w14:paraId="155D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清洁保养‌：使用吸尘器或软布清除扬声器表面灰尘，确保外观整洁。</w:t>
      </w:r>
    </w:p>
    <w:p w14:paraId="3AEB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功能验证‌：手动和自动启动广播，测试语音清晰度及声压级（65-115分贝范围内）。</w:t>
      </w:r>
    </w:p>
    <w:p w14:paraId="7E3E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联动测试‌：模拟火灾场景，检查广播与警报交替循环播放功能是否正常。</w:t>
      </w:r>
    </w:p>
    <w:p w14:paraId="1B6635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消防送风系统</w:t>
      </w:r>
    </w:p>
    <w:p w14:paraId="5425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电机检查‌：断开电源后，检测电机绝缘电阻，确保接地良好。</w:t>
      </w:r>
    </w:p>
    <w:p w14:paraId="7E22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传动部件‌：调整皮带松紧度，加注润滑油，观察转动是否平稳无异常噪音。</w:t>
      </w:r>
    </w:p>
    <w:p w14:paraId="2172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阀门测试‌：检查调节阀的机械开闭动作，确保标识清晰、锁具设置正确。</w:t>
      </w:r>
    </w:p>
    <w:p w14:paraId="4E6B2F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火灾自动报警系统</w:t>
      </w:r>
    </w:p>
    <w:p w14:paraId="4C5D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探测器清洁‌：定期清洁烟感器、温感器，避免灰尘影响灵敏度。</w:t>
      </w:r>
    </w:p>
    <w:p w14:paraId="2C5D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模拟测试‌：随机抽取5%探测器进行喷烟或加热试验，验证报警准确性。</w:t>
      </w:r>
    </w:p>
    <w:p w14:paraId="7B73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联动控制‌：测试联动控制柜按钮功能，确保火灾时能触发相关设备。</w:t>
      </w:r>
    </w:p>
    <w:p w14:paraId="7F04B8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防火分隔系统</w:t>
      </w:r>
    </w:p>
    <w:p w14:paraId="135E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卷帘门检查‌：验证防火卷帘的启闭灵活性，确保无卡阻或变形。</w:t>
      </w:r>
    </w:p>
    <w:p w14:paraId="5298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密封性测试‌：检查门体与框体间的密封条是否完好，防止烟雾渗透。</w:t>
      </w:r>
    </w:p>
    <w:p w14:paraId="06F541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防排烟系统</w:t>
      </w:r>
    </w:p>
    <w:p w14:paraId="1473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风机运行‌：手动启动风机，检查三相电流值及运行声音是否正常。</w:t>
      </w:r>
    </w:p>
    <w:p w14:paraId="4B73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风道清洁‌：清除风道内杂物，确保排烟通道畅通无阻。</w:t>
      </w:r>
    </w:p>
    <w:p w14:paraId="5CEF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远程控制‌：测试遥控点控制箱功能，验证排烟阀启闭是否可靠。</w:t>
      </w:r>
    </w:p>
    <w:p w14:paraId="08F578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应急照明和疏散指示</w:t>
      </w:r>
    </w:p>
    <w:p w14:paraId="0FFF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电池维护‌：每3个月进行一次备用电池放电测试，延长使用寿命。</w:t>
      </w:r>
    </w:p>
    <w:p w14:paraId="7DE1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灯具检查‌：确保出口指示灯玻璃面板无破损，电源指示灯常亮。</w:t>
      </w:r>
    </w:p>
    <w:p w14:paraId="32A2BE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消防给水系统</w:t>
      </w:r>
    </w:p>
    <w:p w14:paraId="6DBA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水源检查‌：验证消防水箱水位及供水管路畅通，无泄漏或堵塞。</w:t>
      </w:r>
    </w:p>
    <w:p w14:paraId="01C3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水泵测试‌：手动启动消防泵，模拟自动控制条件，进行主备泵切换试验。</w:t>
      </w:r>
    </w:p>
    <w:p w14:paraId="4820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阀门保养‌：定期对阀门除锈、加注润滑油，确保启闭灵活有效。</w:t>
      </w:r>
    </w:p>
    <w:p w14:paraId="7AFE07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电气火灾监控系统</w:t>
      </w:r>
    </w:p>
    <w:p w14:paraId="4B9E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探测器标定‌：定期清洁探测器，避免误报或漏报。</w:t>
      </w:r>
    </w:p>
    <w:p w14:paraId="639F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线路检查‌：紧固接线端子，防止接触不良导致信号中断。</w:t>
      </w:r>
    </w:p>
    <w:p w14:paraId="2B69D52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其他消防设施</w:t>
      </w:r>
    </w:p>
    <w:p w14:paraId="689E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消火栓保养‌：保证室外消火栓能正常开启；室内消火栓测试破玻按钮功能，验证警铃鸣响及水泵启动联动。</w:t>
      </w:r>
    </w:p>
    <w:p w14:paraId="53A8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记录管理‌：每次维护后填写详细记录，包括时间、人员、问题及处理情况。</w:t>
      </w:r>
    </w:p>
    <w:p w14:paraId="002A91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消防设施维护周期</w:t>
      </w:r>
    </w:p>
    <w:p w14:paraId="1599ADC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月度保养‌：</w:t>
      </w:r>
    </w:p>
    <w:p w14:paraId="158E243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消防控制主机</w:t>
      </w:r>
    </w:p>
    <w:p w14:paraId="378F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功能测试：进行主电源与备用电源自动切换测试。</w:t>
      </w:r>
    </w:p>
    <w:p w14:paraId="4632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线路检查：紧固外部可见的接线端子。</w:t>
      </w:r>
    </w:p>
    <w:p w14:paraId="5EB78B8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自动喷淋灭火系统</w:t>
      </w:r>
    </w:p>
    <w:p w14:paraId="7595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管道维护：检查管道有无明显锈蚀、泄漏。</w:t>
      </w:r>
    </w:p>
    <w:p w14:paraId="3570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组件检查：检查报警阀、信号阀等的状态是否正常。</w:t>
      </w:r>
    </w:p>
    <w:p w14:paraId="1E78A8E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应急广播系统</w:t>
      </w:r>
    </w:p>
    <w:p w14:paraId="73F0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功能验证：手动启动广播，测试语音清晰度。</w:t>
      </w:r>
    </w:p>
    <w:p w14:paraId="59CE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清洁保养：清洁扬声器表面灰尘。</w:t>
      </w:r>
    </w:p>
    <w:p w14:paraId="5984E45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消防送风/防排烟系统</w:t>
      </w:r>
    </w:p>
    <w:p w14:paraId="0391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外观检查：检查风机外观、皮带松紧度（直观判断）。</w:t>
      </w:r>
    </w:p>
    <w:p w14:paraId="583A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阀门测试：检查送风口、排烟口的阀门是否处于正常状态，标识是否清晰。</w:t>
      </w:r>
    </w:p>
    <w:p w14:paraId="1408C02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火灾自动报警系统</w:t>
      </w:r>
    </w:p>
    <w:p w14:paraId="60458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探测器清洁：对烟感、温感探测器进行表面除尘。</w:t>
      </w:r>
    </w:p>
    <w:p w14:paraId="42D18EB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消防给水系统</w:t>
      </w:r>
    </w:p>
    <w:p w14:paraId="37F8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水泵测试：手动启动消防泵，检查运行是否正常。</w:t>
      </w:r>
    </w:p>
    <w:p w14:paraId="1017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阀门保养：对常开/常闭阀门进行外观检查，确保状态正确。</w:t>
      </w:r>
    </w:p>
    <w:p w14:paraId="6CE29FE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其他消防设施</w:t>
      </w:r>
    </w:p>
    <w:p w14:paraId="7113F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消火栓保养：检查消火栓箱内组件是否齐全、完好。</w:t>
      </w:r>
    </w:p>
    <w:p w14:paraId="23253C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季度全面检查‌：</w:t>
      </w:r>
    </w:p>
    <w:p w14:paraId="78BA423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消防控制主机</w:t>
      </w:r>
    </w:p>
    <w:p w14:paraId="0A3E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功能测试：进行全面的自检功能测试。</w:t>
      </w:r>
    </w:p>
    <w:p w14:paraId="6D62E34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自动喷淋灭火系统</w:t>
      </w:r>
    </w:p>
    <w:p w14:paraId="158EE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水力测试：进行末端放水试验，验证水流指示器和压力开关的报警功能是否灵敏，信号是否能正确传至消防主机。</w:t>
      </w:r>
    </w:p>
    <w:p w14:paraId="4E3F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管道维护：定期清洗过滤器。</w:t>
      </w:r>
    </w:p>
    <w:p w14:paraId="0ACA8F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应急广播系统</w:t>
      </w:r>
    </w:p>
    <w:p w14:paraId="2805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联动测试：模拟火灾场景，测试广播与警报的交替循环播放功能是否正常。</w:t>
      </w:r>
    </w:p>
    <w:p w14:paraId="1454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功能验证：测试在自动模式下的广播启动功能。</w:t>
      </w:r>
    </w:p>
    <w:p w14:paraId="0B9B46C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消防送风/防排烟系统</w:t>
      </w:r>
    </w:p>
    <w:p w14:paraId="0603C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风机运行：手动启动风机，检查三相电流值是否平衡，运行声音是否正常。</w:t>
      </w:r>
    </w:p>
    <w:p w14:paraId="0D07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远程控制：测试遥控点控制箱功能，验证排烟阀、送风阀的远程启闭是否可靠。</w:t>
      </w:r>
    </w:p>
    <w:p w14:paraId="76D8AB9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火灾自动报警系统</w:t>
      </w:r>
    </w:p>
    <w:p w14:paraId="1DFE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模拟测试：随机抽取不少于5%的探测器进行喷烟（烟感）或加热（温感）试验，验证报警准确性。</w:t>
      </w:r>
    </w:p>
    <w:p w14:paraId="0984FF0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防火分隔系统</w:t>
      </w:r>
    </w:p>
    <w:p w14:paraId="6B42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卷帘门检查：现场手动操作防火卷帘，验证其启闭灵活性，确保无卡阻。</w:t>
      </w:r>
    </w:p>
    <w:p w14:paraId="621EF0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应急照明和疏散指示</w:t>
      </w:r>
    </w:p>
    <w:p w14:paraId="77DBC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电池维护：进行备用电池的放电测试，并持续点亮30分钟以上，测试其应急转换和持续照明能力。</w:t>
      </w:r>
    </w:p>
    <w:p w14:paraId="15A5539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消防给水系统</w:t>
      </w:r>
    </w:p>
    <w:p w14:paraId="0999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水泵测试：模拟自动控制条件（如通过压力开关信号），进行主备泵自动切换试验。</w:t>
      </w:r>
    </w:p>
    <w:p w14:paraId="097E701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电气火灾监控系统</w:t>
      </w:r>
    </w:p>
    <w:p w14:paraId="20C17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探测器标定：清洁探测器，进行功能测试。</w:t>
      </w:r>
    </w:p>
    <w:p w14:paraId="7D49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线路检查：紧固接线端子。</w:t>
      </w:r>
    </w:p>
    <w:p w14:paraId="5AD0315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其他消防设施</w:t>
      </w:r>
    </w:p>
    <w:p w14:paraId="5798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消火栓保养：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保证室外消火栓正常开启；室内消火栓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测试破玻按钮功能，验证警铃鸣响及远程启动消防泵的联动功能。</w:t>
      </w:r>
    </w:p>
    <w:p w14:paraId="709075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十、消防设施维护保养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评分细则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550"/>
        <w:gridCol w:w="5633"/>
      </w:tblGrid>
      <w:tr w14:paraId="3787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23" w:type="dxa"/>
            <w:noWrap w:val="0"/>
            <w:vAlign w:val="center"/>
          </w:tcPr>
          <w:p w14:paraId="207153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评审因素</w:t>
            </w:r>
          </w:p>
        </w:tc>
        <w:tc>
          <w:tcPr>
            <w:tcW w:w="8183" w:type="dxa"/>
            <w:gridSpan w:val="2"/>
            <w:noWrap w:val="0"/>
            <w:vAlign w:val="center"/>
          </w:tcPr>
          <w:p w14:paraId="389325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评审标准</w:t>
            </w:r>
          </w:p>
        </w:tc>
      </w:tr>
      <w:tr w14:paraId="2E12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23" w:type="dxa"/>
            <w:noWrap w:val="0"/>
            <w:vAlign w:val="center"/>
          </w:tcPr>
          <w:p w14:paraId="6DA841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分值构成</w:t>
            </w:r>
          </w:p>
        </w:tc>
        <w:tc>
          <w:tcPr>
            <w:tcW w:w="8183" w:type="dxa"/>
            <w:gridSpan w:val="2"/>
            <w:noWrap w:val="0"/>
            <w:vAlign w:val="center"/>
          </w:tcPr>
          <w:p w14:paraId="1A7F9A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技术部分：65分</w:t>
            </w:r>
          </w:p>
          <w:p w14:paraId="339E4C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商务部分：15分</w:t>
            </w:r>
          </w:p>
          <w:p w14:paraId="483E60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报价得分：20分</w:t>
            </w:r>
          </w:p>
        </w:tc>
      </w:tr>
      <w:tr w14:paraId="4609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noWrap w:val="0"/>
            <w:vAlign w:val="center"/>
          </w:tcPr>
          <w:p w14:paraId="096221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2550" w:type="dxa"/>
            <w:noWrap w:val="0"/>
            <w:vAlign w:val="top"/>
          </w:tcPr>
          <w:p w14:paraId="39557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消防设施维护保养方案（25分）</w:t>
            </w:r>
          </w:p>
          <w:p w14:paraId="54684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5B14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（1）要有符合本项的维保管理制度（5分）</w:t>
            </w:r>
          </w:p>
          <w:p w14:paraId="75B39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（2）符合本项目系统维护保养的具体内容、频次（每月至少一次）及方法（5分）。</w:t>
            </w:r>
          </w:p>
          <w:p w14:paraId="47BB8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（3）应急维修响应时间30分钟内（每超5分钟扣1分）。（5分）</w:t>
            </w:r>
          </w:p>
          <w:p w14:paraId="41EAE6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（4）符合本项目应急抢修方案（5分）</w:t>
            </w:r>
          </w:p>
          <w:p w14:paraId="36B969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（5）维护保养服务流程安排；（5分）</w:t>
            </w:r>
          </w:p>
          <w:p w14:paraId="3CABE6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5项内容无缺项得25分，每缺一项扣5分，每项内容中有一处缺陷扣1分，扣完为止(缺陷是指:只提供评分标准标题或方案阐述简短的、凭空编造、内容前后不一致、前后逻辑错误、涉及的规范及标准错误、地点区域错误、缺乏可行性、内容不全面、不详细、套用其他项目方案、提供的方案内容不针对本项目需求等)。</w:t>
            </w:r>
          </w:p>
        </w:tc>
      </w:tr>
      <w:tr w14:paraId="38BD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458310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41F50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2.项目维护保养服务人员培训方案（10分）</w:t>
            </w:r>
          </w:p>
        </w:tc>
        <w:tc>
          <w:tcPr>
            <w:tcW w:w="5633" w:type="dxa"/>
            <w:noWrap w:val="0"/>
            <w:vAlign w:val="top"/>
          </w:tcPr>
          <w:p w14:paraId="781D12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（1）消防设施维护保养操作的具体培训内容（5分）</w:t>
            </w:r>
          </w:p>
          <w:p w14:paraId="6F4540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（2）维护保养检查检修岗位职责培训（5分）</w:t>
            </w:r>
          </w:p>
          <w:p w14:paraId="3238AB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两项内容无缺项得10分，每缺一项扣5分，每项内容中有一处缺陷扣1分，扣完为止(缺陷是指:只提供评分标准标题或方案阐述简短的、凭空编造、内容前后不一致、前后逻辑错误、涉及的规范及标准错误、地点区域错误、缺乏可行性、内容不全面、不详细、套用其他项目方案、提供的方案内容不针对本项目需求等)。</w:t>
            </w:r>
          </w:p>
        </w:tc>
      </w:tr>
      <w:tr w14:paraId="59C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165C01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1642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3.维保中月/季检测服务方案（10分）</w:t>
            </w:r>
          </w:p>
        </w:tc>
        <w:tc>
          <w:tcPr>
            <w:tcW w:w="5633" w:type="dxa"/>
            <w:noWrap w:val="0"/>
            <w:vAlign w:val="top"/>
          </w:tcPr>
          <w:p w14:paraId="162B3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（1）维保检测人员岗位责任；（5分）</w:t>
            </w:r>
          </w:p>
          <w:p w14:paraId="5D7D3F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（2）月/季维保检测工作内容；（5分）</w:t>
            </w:r>
          </w:p>
          <w:p w14:paraId="0CACCE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两项内容无缺项得10分，每缺一项扣5分，每项内容中有一处缺陷扣1分，扣完为止(缺陷是指:只提供评分标准标题或方案阐述简短的、凭空编造、内容前后不一致、前后逻辑错误、涉及的规范及标准错误、地点区域错误、缺乏可行性、内容不全面、不详细、套用其他项目方案、提供的方案内容不针对本项目需求等)。</w:t>
            </w:r>
          </w:p>
        </w:tc>
      </w:tr>
      <w:tr w14:paraId="310A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noWrap w:val="0"/>
            <w:vAlign w:val="top"/>
          </w:tcPr>
          <w:p w14:paraId="046E3F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31532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4.质量保证措施（10分）</w:t>
            </w:r>
          </w:p>
          <w:p w14:paraId="761644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286D3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（1）有适合本项目维保项目的质量保证方针（5分）</w:t>
            </w:r>
          </w:p>
          <w:p w14:paraId="46BBC2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（2）有适合本项目维保项目的质量保证保证措施（5分）</w:t>
            </w:r>
          </w:p>
          <w:p w14:paraId="0A4A2D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两项内容无缺项得10分，每缺一项扣5分，每项内容中有一处缺陷扣1分，扣完为止(缺陷是指:只提供评分标准标题或方案阐述简短的、凭空编造、内容前后不一致、前后逻辑错误、涉及的规范及标准错误、地点区域错误、缺乏可行性、内容不全面、不详细、套用其他项目方案、提供的方案内容不针对本项目需求等)。</w:t>
            </w:r>
          </w:p>
        </w:tc>
      </w:tr>
      <w:tr w14:paraId="1034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top"/>
          </w:tcPr>
          <w:p w14:paraId="2E60C8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6A99A9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5.维护保养人员架构，保密制度（10分）</w:t>
            </w:r>
          </w:p>
        </w:tc>
        <w:tc>
          <w:tcPr>
            <w:tcW w:w="5633" w:type="dxa"/>
            <w:noWrap w:val="0"/>
            <w:vAlign w:val="top"/>
          </w:tcPr>
          <w:p w14:paraId="31F68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（1）本项目人员配置方案（5分）</w:t>
            </w:r>
          </w:p>
          <w:p w14:paraId="1FF4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（3）公司保密制度；（5分）</w:t>
            </w:r>
          </w:p>
          <w:p w14:paraId="1013B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两项内容无缺项得10分，每缺一项扣5分，每项内容中有一处缺陷扣1分，扣完为止(缺陷是指:只提供评分标准标题或方案阐述简短的、凭空编造、内容前后不一致、前后逻辑错误、涉及的规范及标准错误、地点区域错误、缺乏可行性、内容不全面、不详细、套用其他项目方案、提供的方案内容不针对本项目需求等)。</w:t>
            </w:r>
          </w:p>
        </w:tc>
      </w:tr>
      <w:tr w14:paraId="7F40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 w14:paraId="1E61D9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商务部分</w:t>
            </w:r>
          </w:p>
        </w:tc>
        <w:tc>
          <w:tcPr>
            <w:tcW w:w="2550" w:type="dxa"/>
            <w:noWrap w:val="0"/>
            <w:vAlign w:val="center"/>
          </w:tcPr>
          <w:p w14:paraId="63000C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5633" w:type="dxa"/>
            <w:noWrap w:val="0"/>
            <w:vAlign w:val="top"/>
          </w:tcPr>
          <w:p w14:paraId="5C9B2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(1)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提供质量管理体系，职业健康管理体系，环境管理体系证书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及国家市场监督管理总局全国认证认可信息公共服务平台查询截图，每提供1项得2分，满分6分，不提供不得分。</w:t>
            </w:r>
          </w:p>
          <w:p w14:paraId="7A9DE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(2)近3年内（2022.1.1至今）同类消防维保业绩（需同时提供合同+发票扫描件）每提供1份得3分，满分9分，缺任意材料该业绩不得分。</w:t>
            </w:r>
          </w:p>
          <w:p w14:paraId="6EC7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DE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 w14:paraId="1A2C26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2550" w:type="dxa"/>
            <w:noWrap w:val="0"/>
            <w:vAlign w:val="center"/>
          </w:tcPr>
          <w:p w14:paraId="1144B8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633" w:type="dxa"/>
            <w:noWrap w:val="0"/>
            <w:vAlign w:val="top"/>
          </w:tcPr>
          <w:p w14:paraId="410A69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0201C10E">
      <w:pPr>
        <w:pStyle w:val="6"/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lang w:val="en-US" w:eastAsia="zh-CN"/>
        </w:rPr>
      </w:pPr>
    </w:p>
    <w:p w14:paraId="04BA0A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D7B8B"/>
    <w:multiLevelType w:val="singleLevel"/>
    <w:tmpl w:val="803D7B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05C0A96"/>
    <w:multiLevelType w:val="singleLevel"/>
    <w:tmpl w:val="E05C0A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33D8B59"/>
    <w:multiLevelType w:val="singleLevel"/>
    <w:tmpl w:val="E33D8B5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38EE12"/>
    <w:multiLevelType w:val="singleLevel"/>
    <w:tmpl w:val="2938EE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B7B848B"/>
    <w:multiLevelType w:val="singleLevel"/>
    <w:tmpl w:val="2B7B848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49AA1CCB"/>
    <w:multiLevelType w:val="singleLevel"/>
    <w:tmpl w:val="49AA1C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89B4862"/>
    <w:multiLevelType w:val="singleLevel"/>
    <w:tmpl w:val="789B486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6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2026-03-23T02:20:04Z</dcterms:created>
  <dc:creator>94842</dc:creator>
  <cp:lastModifiedBy>Jack</cp:lastModifiedBy>
  <dcterms:modified xsi:type="dcterms:W3CDTF">2026-03-23T02:20:07Z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EC52E032660847D799D3EF2BEFED2359_12</vt:lpwstr>
  </property>
</Properties>
</file>