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rPr>
          <w:rFonts w:hint="eastAsia" w:ascii="仿宋" w:hAnsi="仿宋" w:eastAsia="仿宋" w:cs="仿宋"/>
          <w:b w:val="0"/>
          <w:bCs/>
          <w:lang w:val="en-US" w:eastAsia="zh-CN"/>
        </w:rPr>
      </w:pPr>
    </w:p>
    <w:tbl>
      <w:tblPr>
        <w:tblStyle w:val="4"/>
        <w:tblpPr w:leftFromText="180" w:rightFromText="180" w:vertAnchor="text" w:horzAnchor="page" w:tblpX="1243" w:tblpY="603"/>
        <w:tblOverlap w:val="never"/>
        <w:tblW w:w="96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7"/>
        <w:gridCol w:w="840"/>
        <w:gridCol w:w="795"/>
        <w:gridCol w:w="810"/>
        <w:gridCol w:w="855"/>
        <w:gridCol w:w="4328"/>
      </w:tblGrid>
      <w:tr w14:paraId="75C5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FA2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89B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88A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FC0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98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229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571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ABD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B60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1F0E">
            <w:pPr>
              <w:widowControl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MECT治疗床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473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98E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69B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D01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068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1、规格尺寸：长1950±10mm、宽750±10mm、高550±10mm</w:t>
            </w:r>
          </w:p>
          <w:p w14:paraId="66B92CA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2、材质：采用304不锈钢材质</w:t>
            </w:r>
          </w:p>
          <w:p w14:paraId="68F3A9F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3、结构尺寸</w:t>
            </w:r>
          </w:p>
          <w:p w14:paraId="66CC164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3.1床外框采用≥30x60mmx1.5mm矩形管</w:t>
            </w:r>
          </w:p>
          <w:p w14:paraId="3E7FD92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3.2床面要求框架内的横拉撑≥18根，竖拉撑≥1根，床面框架内的拉撑采用≥30x30mmx1.2mm方管</w:t>
            </w:r>
          </w:p>
          <w:p w14:paraId="49BA262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3.3两侧床腿拉撑≥1根，床腿立柱采用≥Φ38mmx1.5mm圆管，同侧床腿间采用≥30x30mmx1.2mm方管，两侧床腿拉撑≥Φ25mmx1.2mm圆管</w:t>
            </w:r>
          </w:p>
          <w:p w14:paraId="0555709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3.4护栏：床面每侧各1支，不锈钢翻转式设计，护栏长度≥1100mm，护栏横向中部设有≥1根的横撑，护栏离床面≥350mm，护栏翻转功能通过采用弹簧式插轴实现，护栏和护栏内拉撑采用≥Φ32mmx1.2mm圆管</w:t>
            </w:r>
          </w:p>
          <w:p w14:paraId="39CE32D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3.5配有一侧床头，床头与护栏高度一致，大框采用≥Φ32mmx1.2mm圆管，中间≥2根立柱支撑，立柱支撑采用≥Φ25mmx1.2mm圆管</w:t>
            </w:r>
          </w:p>
          <w:p w14:paraId="3680587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3.6床面配有约束钩，数量≥3组</w:t>
            </w:r>
          </w:p>
          <w:p w14:paraId="74CE8D3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3.7静音万向脚轮，≥Φ125mm带刹车功能</w:t>
            </w:r>
          </w:p>
          <w:p w14:paraId="330C7BD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3.8床配床垫：厚度40mm，尺寸病床配套；纯椰棕材质；外罩面料：采用防水、防潮、耐磨、透气的牛津布材料</w:t>
            </w:r>
          </w:p>
          <w:p w14:paraId="00F74FC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4、承重≥240kg</w:t>
            </w:r>
          </w:p>
        </w:tc>
      </w:tr>
    </w:tbl>
    <w:p w14:paraId="1B6605A6">
      <w:pPr>
        <w:pStyle w:val="3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6041ACE">
      <w:pPr>
        <w:pStyle w:val="3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55FB7307">
      <w:pPr>
        <w:pStyle w:val="2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6A4E4BB8">
      <w:pPr>
        <w:pStyle w:val="3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81486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2026-03-19T11:24:22Z</dcterms:created>
  <dc:creator>94842</dc:creator>
  <cp:lastModifiedBy>kevin-医创科技</cp:lastModifiedBy>
  <dcterms:modified xsi:type="dcterms:W3CDTF">2026-03-19T11:24:35Z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eyJoZGlkIjoiNWE3YzU0MDcxNzhjZDEzY2E0NTlkODRlNzE0Mjc5OWYiLCJ1c2VySWQiOiIxMzYyNDUxNDI1In0=</vt:lpwstr>
  </property>
  <property fmtid="{D5CDD505-2E9C-101B-9397-08002B2CF9AE}" pid="4" name="ICV">
    <vt:lpwstr>1B4FF217C4F54B3FBAFCB03C7FA381A7_12</vt:lpwstr>
  </property>
</Properties>
</file>