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2E0F6F">
      <w:pP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附件1：</w:t>
      </w:r>
    </w:p>
    <w:p w14:paraId="6B5C64B1">
      <w:pPr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（一）、技术参数</w:t>
      </w:r>
    </w:p>
    <w:p w14:paraId="732234DF">
      <w:pPr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1.1本机须同时具备心电信号采集与热敏打印功能，不接受心电采集盒类产品。</w:t>
      </w:r>
    </w:p>
    <w:p w14:paraId="6B618D81">
      <w:pPr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1.2同屏显示，同步采集，同步热敏记录18/12道心电波形。</w:t>
      </w:r>
    </w:p>
    <w:p w14:paraId="0803DCD8">
      <w:pPr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*1.3触摸显示屏≥12.0英寸，屏幕亮度可调，支持背景网格显示。</w:t>
      </w:r>
    </w:p>
    <w:p w14:paraId="02C852BC">
      <w:pPr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1.4本机具有一体化标准物理全键盘和轨迹球鼠标设计，支持拼音、五笔等输入法，方便信息输入。</w:t>
      </w:r>
    </w:p>
    <w:p w14:paraId="0799824A">
      <w:pPr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1.5支持有线和无线联网，实现疑难病例远程诊断。</w:t>
      </w:r>
    </w:p>
    <w:p w14:paraId="2D33FFEC">
      <w:pPr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1.6支持心电数据双向传输，可实现通过本机将采集的心电数据直接上传至医院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His</w:t>
      </w:r>
      <w:r>
        <w:rPr>
          <w:rFonts w:hint="eastAsia" w:ascii="仿宋" w:hAnsi="仿宋" w:eastAsia="仿宋" w:cs="仿宋"/>
          <w:sz w:val="28"/>
          <w:szCs w:val="28"/>
        </w:rPr>
        <w:t>系统，接收并打印回传的已诊断心电报告。</w:t>
      </w:r>
    </w:p>
    <w:p w14:paraId="2F0501CD">
      <w:pPr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2.1 采样率:≥50000Hz。</w:t>
      </w:r>
    </w:p>
    <w:p w14:paraId="789012E3">
      <w:pPr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*2.2频率响应: 0.01Hz~500Hz。</w:t>
      </w:r>
    </w:p>
    <w:p w14:paraId="77ED017B">
      <w:pPr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2.3耐极化电压:≥±950mV。</w:t>
      </w:r>
    </w:p>
    <w:p w14:paraId="5440DE3B">
      <w:pPr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3.1 ECG输入通道:标准18/12导联心电信号同步采集。</w:t>
      </w:r>
    </w:p>
    <w:p w14:paraId="63D61D97">
      <w:pPr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3.2 导联选择:手动/自动可选，支持标准威尔逊、Cabrera导联体系，同时具备导联标识自定义功能。</w:t>
      </w:r>
    </w:p>
    <w:p w14:paraId="5898397D">
      <w:pPr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3.3采集时间设置:波形实时采集和冻结时长均可达60s，同时可进行两页、三页、四页紧凑版热敏打印格式。</w:t>
      </w:r>
    </w:p>
    <w:p w14:paraId="0B7B459F">
      <w:pPr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3.4支持实时采样、预采样、触发采样模式，支持节律分析。</w:t>
      </w:r>
    </w:p>
    <w:p w14:paraId="36B8B525">
      <w:pPr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*3.5 可同屏显示18/12导同步心电波形，</w:t>
      </w:r>
    </w:p>
    <w:p w14:paraId="22562F5C">
      <w:pPr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12导联显示布局:3*4、3*4+1R、3*4+3R,6*2、6*2+1R、6*2+3R、12*1；</w:t>
      </w:r>
    </w:p>
    <w:p w14:paraId="47A63F26">
      <w:pPr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18导联显示布局:6*3、6*3+1R、9*2、9*2+1R。</w:t>
      </w:r>
    </w:p>
    <w:p w14:paraId="3B9988BC">
      <w:pPr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3.6具有病历管理功能，可对存储的病历进行查询、浏览、修改、导出、传输、打印，方便医生调阅病人信息。</w:t>
      </w:r>
    </w:p>
    <w:p w14:paraId="72DF09E8">
      <w:pPr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3.7支持病例重新编辑，具备病例模板与自定义病例模板的添加功能，方便医生在屏诊断时快速输入诊断结论。</w:t>
      </w:r>
    </w:p>
    <w:p w14:paraId="3F761E5A">
      <w:pPr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*3.8支持病例自动重新诊断功能，选取不同的波形片段和选择不同的诊断条件，设备将自动给出不同的诊断结论。</w:t>
      </w:r>
    </w:p>
    <w:p w14:paraId="4BACD7EA">
      <w:pPr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3.9 标配向量、时间向量高级功能、本机不通过PC可选配晚电位、频谱、心率变异性、QT离散度高级功能。</w:t>
      </w:r>
    </w:p>
    <w:p w14:paraId="1F5F5A33">
      <w:pPr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3.10 权限管理:可对设置权限进行密码管控，包含传输、纸速、增益、报告模板等设置。</w:t>
      </w:r>
    </w:p>
    <w:p w14:paraId="7B85E2F8">
      <w:pPr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4.1交直流两用且自动转换，电源要求100-240V(50/60Hz)，内置锂电池充满电后可连续工作4小时以上。</w:t>
      </w:r>
    </w:p>
    <w:p w14:paraId="42BDD2E1">
      <w:pPr>
        <w:jc w:val="both"/>
      </w:pPr>
      <w:r>
        <w:rPr>
          <w:rFonts w:hint="eastAsia" w:ascii="仿宋" w:hAnsi="仿宋" w:eastAsia="仿宋" w:cs="仿宋"/>
          <w:sz w:val="28"/>
          <w:szCs w:val="28"/>
        </w:rPr>
        <w:t>5.1主机1台，18导导联线1条，肢电极4个，胸电极9个，热敏打印纸1本，电源线1根，接地线1根。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荧光免疫分析仪配套试剂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需求</w:t>
      </w:r>
    </w:p>
    <w:p w14:paraId="7BAB2428"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六、其他要求：</w:t>
      </w:r>
    </w:p>
    <w:p w14:paraId="32C76570">
      <w:pPr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1、十八导心电图机1台，整机保修三年。</w:t>
      </w:r>
    </w:p>
    <w:p w14:paraId="3651D567">
      <w:pPr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2、单个产品中*条款必须满足，否则投标无效，非*条款3条以上（含3条）不满足的投标无效。</w:t>
      </w:r>
    </w:p>
    <w:p w14:paraId="007CE915">
      <w:pPr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3、验收程序：按照采购公告中项目需求及技术参数要求内容逐条验收。</w:t>
      </w:r>
    </w:p>
    <w:p w14:paraId="0EA5AD2B">
      <w:pPr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4、提供完整技术资料，提供完整的操作手册。</w:t>
      </w:r>
    </w:p>
    <w:p w14:paraId="7A495800">
      <w:pPr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5、装在医院指定地点，供方负责装卸、搬运和安装费用，达到验收标准。</w:t>
      </w:r>
    </w:p>
    <w:p w14:paraId="3C28DC72">
      <w:pPr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6、维修响应速度：2小时内响应，接到故障电话后24小时内到达现场。</w:t>
      </w:r>
    </w:p>
    <w:p w14:paraId="4EA43610">
      <w:pPr>
        <w:jc w:val="both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7、保修期内的开机率：保证开机率95％（按一年365天计算）。</w:t>
      </w:r>
    </w:p>
    <w:p w14:paraId="317C3DB5"/>
    <w:p w14:paraId="695631FB"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 w14:paraId="3CF88E46">
      <w:pPr>
        <w:rPr>
          <w:rFonts w:hint="eastAsia" w:ascii="仿宋" w:hAnsi="仿宋" w:eastAsia="仿宋" w:cs="仿宋"/>
          <w:b/>
          <w:sz w:val="30"/>
          <w:szCs w:val="30"/>
        </w:rPr>
      </w:pPr>
    </w:p>
    <w:p w14:paraId="0A53624B">
      <w:pPr>
        <w:rPr>
          <w:rFonts w:hint="eastAsia" w:ascii="仿宋" w:hAnsi="仿宋" w:eastAsia="仿宋" w:cs="仿宋"/>
          <w:b/>
          <w:sz w:val="30"/>
          <w:szCs w:val="30"/>
        </w:rPr>
      </w:pPr>
    </w:p>
    <w:p w14:paraId="13436784">
      <w:pPr>
        <w:rPr>
          <w:rFonts w:hint="eastAsia" w:ascii="仿宋" w:hAnsi="仿宋" w:eastAsia="仿宋" w:cs="仿宋"/>
          <w:b/>
          <w:sz w:val="30"/>
          <w:szCs w:val="30"/>
        </w:rPr>
      </w:pPr>
    </w:p>
    <w:p w14:paraId="3E1D3698">
      <w:pPr>
        <w:rPr>
          <w:rFonts w:hint="eastAsia" w:ascii="仿宋" w:hAnsi="仿宋" w:eastAsia="仿宋" w:cs="仿宋"/>
          <w:b/>
          <w:sz w:val="30"/>
          <w:szCs w:val="30"/>
        </w:rPr>
      </w:pPr>
    </w:p>
    <w:p w14:paraId="1E761B46">
      <w:pPr>
        <w:rPr>
          <w:rFonts w:hint="eastAsia" w:ascii="仿宋" w:hAnsi="仿宋" w:eastAsia="仿宋" w:cs="仿宋"/>
          <w:b/>
          <w:sz w:val="30"/>
          <w:szCs w:val="30"/>
        </w:rPr>
      </w:pPr>
    </w:p>
    <w:p w14:paraId="3061011F">
      <w:pPr>
        <w:rPr>
          <w:rFonts w:hint="eastAsia" w:ascii="仿宋" w:hAnsi="仿宋" w:eastAsia="仿宋" w:cs="仿宋"/>
          <w:b/>
          <w:sz w:val="30"/>
          <w:szCs w:val="30"/>
        </w:rPr>
      </w:pPr>
    </w:p>
    <w:p w14:paraId="3F44D959">
      <w:pPr>
        <w:rPr>
          <w:rFonts w:hint="eastAsia" w:ascii="仿宋" w:hAnsi="仿宋" w:eastAsia="仿宋" w:cs="仿宋"/>
          <w:b/>
          <w:sz w:val="30"/>
          <w:szCs w:val="30"/>
        </w:rPr>
      </w:pPr>
    </w:p>
    <w:p w14:paraId="6F39A9DE">
      <w:pPr>
        <w:pStyle w:val="4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</w:p>
    <w:p w14:paraId="15324C7A">
      <w:pPr>
        <w:pStyle w:val="2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</w:p>
    <w:p w14:paraId="7D73AE85">
      <w:pP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</w:p>
    <w:p w14:paraId="26B38F51">
      <w:pP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</w:p>
    <w:p w14:paraId="37A32615">
      <w:pPr>
        <w:pStyle w:val="4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</w:p>
    <w:p w14:paraId="1F2206F1">
      <w:pPr>
        <w:pStyle w:val="4"/>
        <w:rPr>
          <w:rFonts w:hint="eastAsia" w:ascii="仿宋" w:hAnsi="仿宋" w:eastAsia="仿宋" w:cs="仿宋"/>
          <w:b w:val="0"/>
          <w:bCs/>
          <w:color w:val="auto"/>
          <w:sz w:val="30"/>
          <w:szCs w:val="30"/>
          <w:lang w:val="en-US" w:eastAsia="zh-CN"/>
        </w:rPr>
      </w:pPr>
    </w:p>
    <w:p w14:paraId="69F37919">
      <w:pPr>
        <w:rPr>
          <w:rFonts w:hint="eastAsia" w:ascii="仿宋" w:hAnsi="仿宋" w:eastAsia="仿宋" w:cs="仿宋"/>
          <w:b w:val="0"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0"/>
          <w:szCs w:val="30"/>
          <w:lang w:val="en-US" w:eastAsia="zh-CN"/>
        </w:rPr>
        <w:br w:type="page"/>
      </w:r>
    </w:p>
    <w:p w14:paraId="3107A692">
      <w:pPr>
        <w:pStyle w:val="4"/>
        <w:rPr>
          <w:rFonts w:hint="default" w:ascii="仿宋" w:hAnsi="仿宋" w:eastAsia="仿宋" w:cs="仿宋"/>
          <w:b w:val="0"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0"/>
          <w:szCs w:val="30"/>
          <w:lang w:val="en-US" w:eastAsia="zh-CN"/>
        </w:rPr>
        <w:t>附件2：</w:t>
      </w:r>
    </w:p>
    <w:p w14:paraId="2958193D">
      <w:pPr>
        <w:pStyle w:val="5"/>
        <w:shd w:val="clear" w:color="auto" w:fill="FFFFFF"/>
        <w:spacing w:before="0" w:beforeAutospacing="0" w:after="0" w:afterAutospacing="0" w:line="700" w:lineRule="exact"/>
        <w:jc w:val="center"/>
        <w:rPr>
          <w:rFonts w:hint="eastAsia"/>
          <w:b/>
          <w:bCs/>
          <w:kern w:val="2"/>
          <w:sz w:val="40"/>
          <w:szCs w:val="40"/>
        </w:rPr>
      </w:pPr>
      <w:r>
        <w:rPr>
          <w:rFonts w:hint="eastAsia"/>
          <w:b/>
          <w:bCs/>
          <w:kern w:val="2"/>
          <w:sz w:val="44"/>
          <w:szCs w:val="44"/>
        </w:rPr>
        <w:t>供应商报名承诺函</w:t>
      </w:r>
    </w:p>
    <w:p w14:paraId="0139953A">
      <w:pPr>
        <w:pStyle w:val="5"/>
        <w:shd w:val="clear" w:color="auto" w:fill="FFFFFF"/>
        <w:spacing w:before="0" w:beforeAutospacing="0" w:after="0" w:afterAutospacing="0" w:line="700" w:lineRule="exact"/>
        <w:ind w:firstLine="640" w:firstLineChars="200"/>
        <w:jc w:val="center"/>
        <w:rPr>
          <w:rFonts w:hint="eastAsia"/>
          <w:kern w:val="2"/>
          <w:sz w:val="32"/>
          <w:szCs w:val="32"/>
        </w:rPr>
      </w:pPr>
      <w:bookmarkStart w:id="0" w:name="_GoBack"/>
      <w:bookmarkEnd w:id="0"/>
    </w:p>
    <w:p w14:paraId="3A60C3CC">
      <w:pPr>
        <w:widowControl/>
        <w:shd w:val="clear" w:color="auto" w:fill="FFFFFF"/>
        <w:ind w:firstLine="640" w:firstLineChars="200"/>
        <w:jc w:val="left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**公司参加大庆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市第三</w:t>
      </w:r>
      <w:r>
        <w:rPr>
          <w:rFonts w:hint="eastAsia" w:ascii="仿宋" w:hAnsi="仿宋" w:eastAsia="仿宋" w:cs="仿宋"/>
          <w:kern w:val="2"/>
          <w:sz w:val="32"/>
          <w:szCs w:val="32"/>
        </w:rPr>
        <w:t>医院院内采购项目谈判，项目名称：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大庆市第三医院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医用干式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>胶片及配套胶片打印机采购</w:t>
      </w:r>
      <w:r>
        <w:rPr>
          <w:rFonts w:ascii="仿宋" w:hAnsi="仿宋" w:eastAsia="仿宋" w:cs="仿宋"/>
          <w:b w:val="0"/>
          <w:bCs/>
          <w:color w:val="auto"/>
          <w:sz w:val="32"/>
          <w:szCs w:val="32"/>
        </w:rPr>
        <w:t>项目</w:t>
      </w:r>
      <w:r>
        <w:rPr>
          <w:rFonts w:hint="eastAsia" w:ascii="仿宋" w:hAnsi="仿宋" w:eastAsia="仿宋" w:cs="仿宋"/>
          <w:kern w:val="2"/>
          <w:sz w:val="32"/>
          <w:szCs w:val="32"/>
        </w:rPr>
        <w:t>，项</w:t>
      </w:r>
      <w:r>
        <w:rPr>
          <w:rFonts w:hint="eastAsia" w:ascii="仿宋" w:hAnsi="仿宋" w:eastAsia="仿宋" w:cs="仿宋"/>
          <w:sz w:val="32"/>
          <w:szCs w:val="32"/>
        </w:rPr>
        <w:t>目编号：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DSYY2023003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  <w:r>
        <w:rPr>
          <w:rFonts w:hint="eastAsia" w:ascii="仿宋" w:hAnsi="仿宋" w:eastAsia="仿宋" w:cs="仿宋"/>
          <w:kern w:val="2"/>
          <w:sz w:val="32"/>
          <w:szCs w:val="32"/>
        </w:rPr>
        <w:t>本次投标所提供的资料、授权真实有效；投标所提供的产品均满足甲方采购项目需求及技术参数要求，如资料虚假产生的一切后果及法律责任由**公司承担。</w:t>
      </w:r>
    </w:p>
    <w:p w14:paraId="329FC0DC">
      <w:pPr>
        <w:pStyle w:val="6"/>
        <w:rPr>
          <w:rFonts w:hint="eastAsia" w:ascii="仿宋" w:hAnsi="仿宋" w:eastAsia="仿宋" w:cs="仿宋"/>
          <w:sz w:val="32"/>
          <w:szCs w:val="32"/>
        </w:rPr>
      </w:pPr>
    </w:p>
    <w:p w14:paraId="2CC791C7">
      <w:pPr>
        <w:pStyle w:val="6"/>
        <w:ind w:firstLine="3520" w:firstLineChars="1100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法定代表人签字：</w:t>
      </w:r>
    </w:p>
    <w:p w14:paraId="308E459C">
      <w:pPr>
        <w:pStyle w:val="6"/>
        <w:spacing w:line="700" w:lineRule="exact"/>
        <w:ind w:left="0" w:leftChars="0" w:right="420" w:firstLine="0" w:firstLineChars="0"/>
        <w:jc w:val="center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 xml:space="preserve">             ***公司（盖章）</w:t>
      </w:r>
    </w:p>
    <w:p w14:paraId="5130A87A">
      <w:pPr>
        <w:pStyle w:val="6"/>
        <w:ind w:firstLine="3840" w:firstLineChars="120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*年*月*日</w:t>
      </w:r>
    </w:p>
    <w:p w14:paraId="75CA6F3B">
      <w:pPr>
        <w:rPr>
          <w:rFonts w:hint="eastAsia" w:ascii="仿宋" w:hAnsi="仿宋" w:eastAsia="仿宋" w:cs="仿宋"/>
          <w:b/>
          <w:sz w:val="30"/>
          <w:szCs w:val="30"/>
          <w:lang w:val="en-US" w:eastAsia="zh-CN"/>
        </w:rPr>
      </w:pPr>
    </w:p>
    <w:p w14:paraId="776686F7">
      <w:pPr>
        <w:pStyle w:val="6"/>
        <w:rPr>
          <w:rFonts w:hint="eastAsia" w:ascii="仿宋" w:hAnsi="仿宋" w:eastAsia="仿宋" w:cs="仿宋"/>
          <w:b/>
          <w:sz w:val="30"/>
          <w:szCs w:val="30"/>
        </w:rPr>
      </w:pPr>
    </w:p>
    <w:p w14:paraId="49EAEFD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7A1774"/>
    <w:rsid w:val="217A1774"/>
    <w:rsid w:val="48442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qFormat="1" w:unhideWhenUsed="0" w:uiPriority="99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te Heading"/>
    <w:basedOn w:val="1"/>
    <w:next w:val="1"/>
    <w:qFormat/>
    <w:uiPriority w:val="99"/>
    <w:pPr>
      <w:widowControl/>
      <w:jc w:val="center"/>
    </w:pPr>
    <w:rPr>
      <w:rFonts w:eastAsia="仿宋_GB2312"/>
      <w:sz w:val="24"/>
      <w:szCs w:val="20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Body Text 2"/>
    <w:basedOn w:val="1"/>
    <w:next w:val="2"/>
    <w:qFormat/>
    <w:uiPriority w:val="0"/>
    <w:pPr>
      <w:spacing w:after="120" w:line="480" w:lineRule="auto"/>
    </w:pPr>
    <w:rPr>
      <w:rFonts w:ascii="宋体" w:eastAsia="宋体"/>
      <w:sz w:val="28"/>
      <w:szCs w:val="20"/>
    </w:rPr>
  </w:style>
  <w:style w:type="paragraph" w:styleId="5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hint="eastAsia" w:ascii="Arial Unicode MS" w:hAnsi="Arial Unicode MS" w:eastAsia="Times New Roman" w:cs="Times New Roman"/>
      <w:color w:val="000000"/>
      <w:kern w:val="0"/>
      <w:sz w:val="24"/>
    </w:rPr>
  </w:style>
  <w:style w:type="paragraph" w:styleId="6">
    <w:name w:val="Body Text First Indent 2"/>
    <w:basedOn w:val="3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2025-09-02T02:16:00Z</dcterms:created>
  <dc:creator>宝鹏</dc:creator>
  <cp:lastModifiedBy>宝鹏</cp:lastModifiedBy>
  <dcterms:modified xsi:type="dcterms:W3CDTF">2025-09-02T02:16:26Z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56061598A08C40FE8B5A909FE596944F_11</vt:lpwstr>
  </property>
  <property fmtid="{D5CDD505-2E9C-101B-9397-08002B2CF9AE}" pid="4" name="KSOTemplateDocerSaveRecord">
    <vt:lpwstr>eyJoZGlkIjoiODg4OGNlYWQ5YmZmOGIwOWQ3MWJiNjBlODZhZTI0MzkiLCJ1c2VySWQiOiI2NjQ4MDI0NzMifQ==</vt:lpwstr>
  </property>
</Properties>
</file>